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D27" w:rsidRDefault="00587512">
      <w:pPr>
        <w:jc w:val="center"/>
        <w:rPr>
          <w:sz w:val="24"/>
          <w:szCs w:val="24"/>
          <w:lang w:val="en-US" w:eastAsia="en-US"/>
        </w:rPr>
      </w:pPr>
      <w:r>
        <w:rPr>
          <w:noProof/>
          <w:lang w:val="bg-BG"/>
        </w:rPr>
        <w:drawing>
          <wp:inline distT="0" distB="0" distL="0" distR="0" wp14:anchorId="2BB0EC49" wp14:editId="780BE9AE">
            <wp:extent cx="6029325" cy="1905000"/>
            <wp:effectExtent l="0" t="0" r="952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D27" w:rsidRDefault="00EC2D27">
      <w:pPr>
        <w:rPr>
          <w:sz w:val="24"/>
          <w:szCs w:val="24"/>
          <w:lang w:val="bg-BG" w:eastAsia="en-US"/>
        </w:rPr>
      </w:pPr>
    </w:p>
    <w:p w:rsidR="00EC2D27" w:rsidRDefault="00EC2D27">
      <w:pPr>
        <w:rPr>
          <w:sz w:val="24"/>
          <w:szCs w:val="24"/>
          <w:lang w:val="bg-BG" w:eastAsia="en-US"/>
        </w:rPr>
      </w:pPr>
    </w:p>
    <w:p w:rsidR="00EC2D27" w:rsidRDefault="00EC2D27">
      <w:pPr>
        <w:rPr>
          <w:sz w:val="24"/>
          <w:szCs w:val="24"/>
          <w:lang w:val="bg-BG" w:eastAsia="en-US"/>
        </w:rPr>
      </w:pPr>
    </w:p>
    <w:p w:rsidR="00EC2D27" w:rsidRDefault="002C0ED9">
      <w:pPr>
        <w:spacing w:line="276" w:lineRule="auto"/>
        <w:ind w:left="9912"/>
        <w:jc w:val="both"/>
        <w:rPr>
          <w:sz w:val="24"/>
          <w:szCs w:val="24"/>
          <w:lang w:val="ru-RU" w:eastAsia="en-US"/>
        </w:rPr>
      </w:pPr>
      <w:r>
        <w:rPr>
          <w:b/>
          <w:sz w:val="24"/>
          <w:szCs w:val="24"/>
          <w:lang w:val="ru-RU" w:eastAsia="en-US"/>
        </w:rPr>
        <w:t>Утвърдил:</w:t>
      </w:r>
      <w:r>
        <w:rPr>
          <w:sz w:val="24"/>
          <w:szCs w:val="24"/>
          <w:lang w:val="ru-RU" w:eastAsia="en-US"/>
        </w:rPr>
        <w:t xml:space="preserve"> </w:t>
      </w:r>
    </w:p>
    <w:p w:rsidR="00EC2D27" w:rsidRDefault="002C0ED9">
      <w:pPr>
        <w:tabs>
          <w:tab w:val="left" w:pos="2910"/>
        </w:tabs>
        <w:rPr>
          <w:b/>
          <w:sz w:val="24"/>
          <w:szCs w:val="24"/>
          <w:lang w:val="ru-RU" w:eastAsia="en-US"/>
        </w:rPr>
      </w:pPr>
      <w:r>
        <w:rPr>
          <w:b/>
          <w:sz w:val="24"/>
          <w:szCs w:val="24"/>
          <w:lang w:val="ru-RU" w:eastAsia="en-US"/>
        </w:rPr>
        <w:tab/>
      </w:r>
      <w:r>
        <w:rPr>
          <w:b/>
          <w:sz w:val="24"/>
          <w:szCs w:val="24"/>
          <w:lang w:val="ru-RU" w:eastAsia="en-US"/>
        </w:rPr>
        <w:tab/>
      </w:r>
      <w:r>
        <w:rPr>
          <w:b/>
          <w:sz w:val="24"/>
          <w:szCs w:val="24"/>
          <w:lang w:val="ru-RU" w:eastAsia="en-US"/>
        </w:rPr>
        <w:tab/>
      </w:r>
      <w:r>
        <w:rPr>
          <w:b/>
          <w:sz w:val="24"/>
          <w:szCs w:val="24"/>
          <w:lang w:val="ru-RU" w:eastAsia="en-US"/>
        </w:rPr>
        <w:tab/>
      </w:r>
      <w:r>
        <w:rPr>
          <w:b/>
          <w:sz w:val="24"/>
          <w:szCs w:val="24"/>
          <w:lang w:val="ru-RU" w:eastAsia="en-US"/>
        </w:rPr>
        <w:tab/>
      </w:r>
      <w:r>
        <w:rPr>
          <w:b/>
          <w:sz w:val="24"/>
          <w:szCs w:val="24"/>
          <w:lang w:val="ru-RU" w:eastAsia="en-US"/>
        </w:rPr>
        <w:tab/>
      </w:r>
      <w:r>
        <w:rPr>
          <w:b/>
          <w:sz w:val="24"/>
          <w:szCs w:val="24"/>
          <w:lang w:val="ru-RU" w:eastAsia="en-US"/>
        </w:rPr>
        <w:tab/>
      </w:r>
      <w:r>
        <w:rPr>
          <w:b/>
          <w:sz w:val="24"/>
          <w:szCs w:val="24"/>
          <w:lang w:val="ru-RU" w:eastAsia="en-US"/>
        </w:rPr>
        <w:tab/>
      </w:r>
      <w:r>
        <w:rPr>
          <w:b/>
          <w:sz w:val="24"/>
          <w:szCs w:val="24"/>
          <w:lang w:val="ru-RU" w:eastAsia="en-US"/>
        </w:rPr>
        <w:tab/>
      </w:r>
      <w:r>
        <w:rPr>
          <w:b/>
          <w:sz w:val="24"/>
          <w:szCs w:val="24"/>
          <w:lang w:val="ru-RU" w:eastAsia="en-US"/>
        </w:rPr>
        <w:tab/>
      </w:r>
      <w:r>
        <w:rPr>
          <w:b/>
          <w:sz w:val="24"/>
          <w:szCs w:val="24"/>
          <w:lang w:val="ru-RU" w:eastAsia="en-US"/>
        </w:rPr>
        <w:tab/>
        <w:t xml:space="preserve">Мария Тодорова </w:t>
      </w:r>
      <w:r>
        <w:rPr>
          <w:b/>
          <w:sz w:val="24"/>
          <w:szCs w:val="24"/>
          <w:lang w:val="bg-BG" w:eastAsia="en-US"/>
        </w:rPr>
        <w:t>Илиева</w:t>
      </w:r>
      <w:r>
        <w:rPr>
          <w:b/>
          <w:sz w:val="24"/>
          <w:szCs w:val="24"/>
          <w:lang w:val="ru-RU" w:eastAsia="en-US"/>
        </w:rPr>
        <w:tab/>
      </w:r>
    </w:p>
    <w:p w:rsidR="00EC2D27" w:rsidRDefault="002C0ED9">
      <w:pPr>
        <w:tabs>
          <w:tab w:val="left" w:pos="2910"/>
        </w:tabs>
        <w:rPr>
          <w:b/>
          <w:sz w:val="24"/>
          <w:szCs w:val="24"/>
          <w:lang w:val="ru-RU" w:eastAsia="en-US"/>
        </w:rPr>
      </w:pPr>
      <w:r>
        <w:rPr>
          <w:i/>
          <w:sz w:val="24"/>
          <w:szCs w:val="24"/>
          <w:lang w:val="ru-RU" w:eastAsia="en-US"/>
        </w:rPr>
        <w:tab/>
      </w:r>
      <w:r>
        <w:rPr>
          <w:i/>
          <w:sz w:val="24"/>
          <w:szCs w:val="24"/>
          <w:lang w:val="ru-RU" w:eastAsia="en-US"/>
        </w:rPr>
        <w:tab/>
      </w:r>
      <w:r>
        <w:rPr>
          <w:i/>
          <w:sz w:val="24"/>
          <w:szCs w:val="24"/>
          <w:lang w:val="ru-RU" w:eastAsia="en-US"/>
        </w:rPr>
        <w:tab/>
      </w:r>
      <w:r>
        <w:rPr>
          <w:i/>
          <w:sz w:val="24"/>
          <w:szCs w:val="24"/>
          <w:lang w:val="ru-RU" w:eastAsia="en-US"/>
        </w:rPr>
        <w:tab/>
      </w:r>
      <w:r>
        <w:rPr>
          <w:i/>
          <w:sz w:val="24"/>
          <w:szCs w:val="24"/>
          <w:lang w:val="ru-RU" w:eastAsia="en-US"/>
        </w:rPr>
        <w:tab/>
      </w:r>
      <w:r>
        <w:rPr>
          <w:i/>
          <w:sz w:val="24"/>
          <w:szCs w:val="24"/>
          <w:lang w:val="ru-RU" w:eastAsia="en-US"/>
        </w:rPr>
        <w:tab/>
      </w:r>
      <w:r>
        <w:rPr>
          <w:i/>
          <w:sz w:val="24"/>
          <w:szCs w:val="24"/>
          <w:lang w:val="ru-RU" w:eastAsia="en-US"/>
        </w:rPr>
        <w:tab/>
      </w:r>
      <w:r>
        <w:rPr>
          <w:i/>
          <w:sz w:val="24"/>
          <w:szCs w:val="24"/>
          <w:lang w:val="ru-RU" w:eastAsia="en-US"/>
        </w:rPr>
        <w:tab/>
      </w:r>
      <w:r>
        <w:rPr>
          <w:i/>
          <w:sz w:val="24"/>
          <w:szCs w:val="24"/>
          <w:lang w:val="ru-RU" w:eastAsia="en-US"/>
        </w:rPr>
        <w:tab/>
      </w:r>
      <w:r>
        <w:rPr>
          <w:i/>
          <w:sz w:val="24"/>
          <w:szCs w:val="24"/>
          <w:lang w:val="ru-RU" w:eastAsia="en-US"/>
        </w:rPr>
        <w:tab/>
      </w:r>
      <w:r>
        <w:rPr>
          <w:i/>
          <w:sz w:val="24"/>
          <w:szCs w:val="24"/>
          <w:lang w:val="ru-RU" w:eastAsia="en-US"/>
        </w:rPr>
        <w:tab/>
        <w:t>Директор на ДГ„Светлина“- с. Царимир</w:t>
      </w:r>
    </w:p>
    <w:p w:rsidR="00EC2D27" w:rsidRDefault="00EC2D27">
      <w:pPr>
        <w:rPr>
          <w:sz w:val="24"/>
          <w:szCs w:val="24"/>
          <w:lang w:val="bg-BG"/>
        </w:rPr>
      </w:pPr>
    </w:p>
    <w:p w:rsidR="00EC2D27" w:rsidRDefault="00EC2D27">
      <w:pPr>
        <w:rPr>
          <w:sz w:val="24"/>
          <w:szCs w:val="24"/>
          <w:lang w:val="bg-BG"/>
        </w:rPr>
      </w:pPr>
    </w:p>
    <w:p w:rsidR="00EC2D27" w:rsidRDefault="002C0ED9">
      <w:pPr>
        <w:jc w:val="center"/>
        <w:rPr>
          <w:b/>
          <w:sz w:val="28"/>
          <w:szCs w:val="24"/>
          <w:lang w:val="bg-BG"/>
        </w:rPr>
      </w:pPr>
      <w:r>
        <w:rPr>
          <w:b/>
          <w:sz w:val="28"/>
          <w:szCs w:val="24"/>
          <w:lang w:val="bg-BG"/>
        </w:rPr>
        <w:t>ПЛАН – ПРОГРАМА</w:t>
      </w:r>
    </w:p>
    <w:p w:rsidR="00EC2D27" w:rsidRDefault="00EC2D27">
      <w:pPr>
        <w:jc w:val="center"/>
        <w:rPr>
          <w:b/>
          <w:sz w:val="28"/>
          <w:szCs w:val="24"/>
          <w:lang w:val="bg-BG"/>
        </w:rPr>
      </w:pPr>
    </w:p>
    <w:p w:rsidR="00EC2D27" w:rsidRDefault="002C0ED9">
      <w:pPr>
        <w:jc w:val="center"/>
        <w:rPr>
          <w:b/>
          <w:sz w:val="28"/>
          <w:szCs w:val="24"/>
          <w:lang w:val="bg-BG"/>
        </w:rPr>
      </w:pPr>
      <w:r>
        <w:rPr>
          <w:b/>
          <w:sz w:val="28"/>
          <w:szCs w:val="24"/>
          <w:lang w:val="bg-BG"/>
        </w:rPr>
        <w:t>ЗА БЕЗОПАСНОСТ НА ДВИЖЕНИЕТО ПО ПЪТИЩАТА ПРЕЗ 202</w:t>
      </w:r>
      <w:r w:rsidR="00587512">
        <w:rPr>
          <w:b/>
          <w:sz w:val="28"/>
          <w:szCs w:val="24"/>
          <w:lang w:val="bg-BG"/>
        </w:rPr>
        <w:t>4/2025</w:t>
      </w:r>
      <w:r>
        <w:rPr>
          <w:b/>
          <w:sz w:val="28"/>
          <w:szCs w:val="24"/>
          <w:lang w:val="bg-BG"/>
        </w:rPr>
        <w:t xml:space="preserve"> ГОДИНА</w:t>
      </w:r>
    </w:p>
    <w:p w:rsidR="00EC2D27" w:rsidRDefault="00EC2D27">
      <w:pPr>
        <w:jc w:val="center"/>
        <w:rPr>
          <w:b/>
          <w:sz w:val="28"/>
          <w:szCs w:val="24"/>
          <w:lang w:val="bg-BG"/>
        </w:rPr>
      </w:pPr>
    </w:p>
    <w:p w:rsidR="00EC2D27" w:rsidRDefault="00EC2D27">
      <w:pPr>
        <w:jc w:val="center"/>
        <w:rPr>
          <w:sz w:val="22"/>
          <w:szCs w:val="22"/>
          <w:lang w:val="bg-BG"/>
        </w:rPr>
      </w:pPr>
    </w:p>
    <w:p w:rsidR="00EC2D27" w:rsidRDefault="002C0ED9">
      <w:pPr>
        <w:jc w:val="both"/>
        <w:rPr>
          <w:b/>
          <w:sz w:val="28"/>
          <w:szCs w:val="24"/>
          <w:lang w:val="bg-BG"/>
        </w:rPr>
      </w:pPr>
      <w:r>
        <w:rPr>
          <w:b/>
          <w:sz w:val="28"/>
          <w:szCs w:val="24"/>
          <w:lang w:val="bg-BG"/>
        </w:rPr>
        <w:t>І. Общи положения</w:t>
      </w:r>
    </w:p>
    <w:p w:rsidR="00EC2D27" w:rsidRDefault="00EC2D27">
      <w:pPr>
        <w:jc w:val="both"/>
        <w:rPr>
          <w:b/>
          <w:sz w:val="28"/>
          <w:szCs w:val="24"/>
          <w:lang w:val="bg-BG"/>
        </w:rPr>
      </w:pPr>
    </w:p>
    <w:p w:rsidR="00EC2D27" w:rsidRDefault="002C0ED9">
      <w:pPr>
        <w:ind w:firstLine="708"/>
        <w:jc w:val="both"/>
        <w:rPr>
          <w:rFonts w:eastAsia="Calibri"/>
          <w:sz w:val="24"/>
          <w:szCs w:val="24"/>
          <w:lang w:val="bg-BG"/>
        </w:rPr>
      </w:pPr>
      <w:r>
        <w:rPr>
          <w:rFonts w:eastAsia="Calibri"/>
          <w:sz w:val="24"/>
          <w:szCs w:val="24"/>
          <w:lang w:val="bg-BG"/>
        </w:rPr>
        <w:t xml:space="preserve">Планът-програма е разработен в изпълнение на </w:t>
      </w:r>
      <w:r>
        <w:rPr>
          <w:rFonts w:eastAsia="Calibri"/>
          <w:sz w:val="24"/>
          <w:szCs w:val="24"/>
          <w:lang w:val="bg-BG"/>
        </w:rPr>
        <w:t>Националната стратегия за безопасност на движението по пътищата в Република България 2021 - 2030 г., Планът за действие 2021 - 2023 към Националната стратегия за безопасност на движението по пътищата, Секторната стратегия за безопасност на движението на пъ</w:t>
      </w:r>
      <w:r>
        <w:rPr>
          <w:rFonts w:eastAsia="Calibri"/>
          <w:sz w:val="24"/>
          <w:szCs w:val="24"/>
          <w:lang w:val="bg-BG"/>
        </w:rPr>
        <w:t xml:space="preserve">тищата (2021-2030) и Планът за действие за безопасност на движението по пътищата на Министерство на образованието и науката за 2021г., утвърден със заповед № РД 09-660/15.03.2021г. на Министъра на образованието и науката. Утвърдена със Заповед №  РД-09-48 </w:t>
      </w:r>
      <w:r>
        <w:rPr>
          <w:rFonts w:eastAsia="Calibri"/>
          <w:sz w:val="24"/>
          <w:szCs w:val="24"/>
          <w:lang w:val="bg-BG"/>
        </w:rPr>
        <w:t>от  26 .03.2021 г.</w:t>
      </w:r>
    </w:p>
    <w:p w:rsidR="00EC2D27" w:rsidRDefault="002C0ED9">
      <w:pPr>
        <w:ind w:firstLine="708"/>
        <w:jc w:val="both"/>
        <w:rPr>
          <w:rFonts w:eastAsia="Calibri"/>
          <w:sz w:val="24"/>
          <w:szCs w:val="24"/>
          <w:lang w:val="bg-BG"/>
        </w:rPr>
      </w:pPr>
      <w:r>
        <w:rPr>
          <w:rFonts w:eastAsia="Calibri"/>
          <w:sz w:val="24"/>
          <w:szCs w:val="24"/>
          <w:lang w:val="bg-BG"/>
        </w:rPr>
        <w:lastRenderedPageBreak/>
        <w:t xml:space="preserve">Планът обхваща първата година от действието на посочените документи и е обект на актуализация в началото на всяка учебна година. </w:t>
      </w:r>
    </w:p>
    <w:p w:rsidR="00EC2D27" w:rsidRDefault="002C0ED9">
      <w:pPr>
        <w:spacing w:after="160" w:line="259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t>Планът е обект на актуализация в началото на всяка учебна година за съответните години от Плана за действие</w:t>
      </w:r>
      <w:r>
        <w:rPr>
          <w:rFonts w:eastAsia="Calibri"/>
          <w:sz w:val="24"/>
          <w:szCs w:val="24"/>
          <w:lang w:val="bg-BG" w:eastAsia="en-US"/>
        </w:rPr>
        <w:t xml:space="preserve"> 2021 - 2023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</w:t>
      </w:r>
      <w:r>
        <w:rPr>
          <w:rFonts w:eastAsia="Calibri"/>
          <w:sz w:val="24"/>
          <w:szCs w:val="24"/>
          <w:lang w:val="bg-BG" w:eastAsia="en-US"/>
        </w:rPr>
        <w:t xml:space="preserve"> бъдат включени в Плана за действие съгласно годишните приоритети и оперативните цели на държавната политика по БДП. </w:t>
      </w:r>
    </w:p>
    <w:p w:rsidR="00EC2D27" w:rsidRDefault="002C0ED9">
      <w:pPr>
        <w:spacing w:after="160" w:line="259" w:lineRule="auto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>
        <w:rPr>
          <w:rFonts w:eastAsia="Calibri"/>
          <w:sz w:val="24"/>
          <w:szCs w:val="24"/>
          <w:lang w:val="bg-BG" w:eastAsia="en-US"/>
        </w:rPr>
        <w:t>Планът за действие се отчита по разработени от ДАБДП образци, приложени към Плана за действие 2021 - 2023 към Националната стратегия за бе</w:t>
      </w:r>
      <w:r>
        <w:rPr>
          <w:rFonts w:eastAsia="Calibri"/>
          <w:sz w:val="24"/>
          <w:szCs w:val="24"/>
          <w:lang w:val="bg-BG" w:eastAsia="en-US"/>
        </w:rPr>
        <w:t>зопасност на движението по пътищата.</w:t>
      </w:r>
    </w:p>
    <w:p w:rsidR="00EC2D27" w:rsidRDefault="002C0ED9">
      <w:pPr>
        <w:jc w:val="both"/>
        <w:rPr>
          <w:b/>
          <w:sz w:val="28"/>
          <w:szCs w:val="24"/>
          <w:lang w:val="bg-BG"/>
        </w:rPr>
      </w:pPr>
      <w:r>
        <w:rPr>
          <w:b/>
          <w:sz w:val="28"/>
          <w:szCs w:val="24"/>
          <w:lang w:val="bg-BG"/>
        </w:rPr>
        <w:t>ІІ. Мерки за БДП по цели и тематични направления.</w:t>
      </w:r>
    </w:p>
    <w:p w:rsidR="00EC2D27" w:rsidRDefault="00EC2D27">
      <w:pPr>
        <w:jc w:val="both"/>
        <w:rPr>
          <w:sz w:val="24"/>
          <w:szCs w:val="24"/>
          <w:lang w:val="bg-BG"/>
        </w:rPr>
      </w:pPr>
    </w:p>
    <w:tbl>
      <w:tblPr>
        <w:tblStyle w:val="a6"/>
        <w:tblW w:w="14312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426"/>
        <w:gridCol w:w="2126"/>
        <w:gridCol w:w="1276"/>
        <w:gridCol w:w="2835"/>
        <w:gridCol w:w="4252"/>
      </w:tblGrid>
      <w:tr w:rsidR="00EC2D27">
        <w:tc>
          <w:tcPr>
            <w:tcW w:w="14312" w:type="dxa"/>
            <w:gridSpan w:val="7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sz w:val="22"/>
                <w:szCs w:val="22"/>
                <w:lang w:val="bg-BG"/>
              </w:rPr>
              <w:t>ТЕМАТИЧНО НАПРАВЛЕНИЕ 1: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  <w:lang w:val="bg-BG"/>
              </w:rPr>
              <w:t>УПРАВЛЕНИЕ, ОСНОВАНО НА ИНТЕГРИТЕТ</w:t>
            </w:r>
          </w:p>
          <w:p w:rsidR="00EC2D27" w:rsidRDefault="00EC2D27">
            <w:pPr>
              <w:tabs>
                <w:tab w:val="left" w:pos="13750"/>
              </w:tabs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№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3261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 xml:space="preserve">Наименование на мярката </w:t>
            </w:r>
          </w:p>
        </w:tc>
        <w:tc>
          <w:tcPr>
            <w:tcW w:w="212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sz w:val="22"/>
                <w:szCs w:val="22"/>
                <w:lang w:val="bg-BG"/>
              </w:rPr>
              <w:t>Ефект на мярката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sz w:val="22"/>
                <w:szCs w:val="22"/>
                <w:lang w:val="bg-BG"/>
              </w:rPr>
              <w:t>Отговорник по мярката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sz w:val="22"/>
                <w:szCs w:val="22"/>
                <w:lang w:val="bg-BG"/>
              </w:rPr>
              <w:t xml:space="preserve">Индикатор и срок по мярката  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sz w:val="22"/>
                <w:szCs w:val="22"/>
                <w:lang w:val="bg-BG"/>
              </w:rPr>
              <w:t xml:space="preserve">Източник </w:t>
            </w:r>
            <w:r>
              <w:rPr>
                <w:rFonts w:eastAsia="Calibri"/>
                <w:b/>
                <w:sz w:val="22"/>
                <w:szCs w:val="22"/>
                <w:lang w:val="bg-BG"/>
              </w:rPr>
              <w:t>на информация за докладване на изпълнението на мярката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І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</w:p>
        </w:tc>
        <w:tc>
          <w:tcPr>
            <w:tcW w:w="13750" w:type="dxa"/>
            <w:gridSpan w:val="6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 Прилагане на интегрирана система за планиране, изпълнение, отчитане, контрол и оценка на политика по БДП в единна стратегическа рамка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3261" w:type="dxa"/>
            <w:gridSpan w:val="2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Отчитане изпълнението на Плана за действие за БДП за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202</w:t>
            </w:r>
            <w:r w:rsidR="00587512">
              <w:rPr>
                <w:rFonts w:eastAsia="Calibri"/>
                <w:bCs/>
                <w:sz w:val="22"/>
                <w:szCs w:val="22"/>
                <w:lang w:val="bg-BG"/>
              </w:rPr>
              <w:t>4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г. </w:t>
            </w:r>
          </w:p>
        </w:tc>
        <w:tc>
          <w:tcPr>
            <w:tcW w:w="212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73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Годишна отчетност на цялостната политика по БДП за 202</w:t>
            </w:r>
            <w:r w:rsidR="00587512">
              <w:rPr>
                <w:rFonts w:eastAsia="Calibri"/>
                <w:sz w:val="22"/>
                <w:szCs w:val="22"/>
                <w:lang w:val="bg-BG"/>
              </w:rPr>
              <w:t>4</w:t>
            </w:r>
            <w:r>
              <w:rPr>
                <w:rFonts w:eastAsia="Calibri"/>
                <w:sz w:val="22"/>
                <w:szCs w:val="22"/>
                <w:lang w:val="bg-BG"/>
              </w:rPr>
              <w:t>г.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Информация</w:t>
            </w:r>
            <w:r>
              <w:rPr>
                <w:sz w:val="22"/>
                <w:szCs w:val="22"/>
                <w:lang w:val="bg-BG"/>
              </w:rPr>
              <w:t xml:space="preserve"> за </w:t>
            </w:r>
            <w:r>
              <w:rPr>
                <w:rFonts w:eastAsia="Calibri"/>
                <w:sz w:val="22"/>
                <w:szCs w:val="22"/>
                <w:lang w:val="bg-BG"/>
              </w:rPr>
              <w:t>изпълнение на мерки по БДП за 202</w:t>
            </w:r>
            <w:r w:rsidR="00587512">
              <w:rPr>
                <w:rFonts w:eastAsia="Calibri"/>
                <w:sz w:val="22"/>
                <w:szCs w:val="22"/>
                <w:lang w:val="bg-BG"/>
              </w:rPr>
              <w:t>4</w:t>
            </w:r>
            <w:r>
              <w:rPr>
                <w:rFonts w:eastAsia="Calibri"/>
                <w:sz w:val="22"/>
                <w:szCs w:val="22"/>
                <w:lang w:val="bg-BG"/>
              </w:rPr>
              <w:t>г. на ниво детска градина.</w:t>
            </w:r>
          </w:p>
          <w:p w:rsidR="00EC2D27" w:rsidRDefault="002C0ED9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10 януари 202</w:t>
            </w:r>
            <w:r>
              <w:rPr>
                <w:rFonts w:eastAsia="Calibri"/>
                <w:sz w:val="22"/>
                <w:szCs w:val="22"/>
                <w:lang w:val="bg-BG"/>
              </w:rPr>
              <w:t>4</w:t>
            </w:r>
            <w:r>
              <w:rPr>
                <w:rFonts w:eastAsia="Calibri"/>
                <w:sz w:val="22"/>
                <w:szCs w:val="22"/>
                <w:lang w:val="bg-BG"/>
              </w:rPr>
              <w:t>г.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Информация за изпълнение на </w:t>
            </w:r>
          </w:p>
          <w:p w:rsidR="00EC2D27" w:rsidRDefault="002C0ED9">
            <w:pPr>
              <w:tabs>
                <w:tab w:val="left" w:pos="13750"/>
              </w:tabs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мерките на ниво детска градина.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3261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Разработване на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годишен план-програма за БДП на ниво детска градина.</w:t>
            </w:r>
          </w:p>
        </w:tc>
        <w:tc>
          <w:tcPr>
            <w:tcW w:w="212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Годишна плановост на мерки по БДП на ниво детска градина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Комисия по БДП.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80"/>
              <w:rPr>
                <w:rFonts w:eastAsia="Calibri"/>
                <w:sz w:val="22"/>
                <w:szCs w:val="22"/>
                <w:lang w:val="bg-BG"/>
              </w:rPr>
            </w:pP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80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Годишни план-програми за БДП на ниво детска градина.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ежегодно до 15 септември.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7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Годишен план-програма за БДП.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3261" w:type="dxa"/>
            <w:gridSpan w:val="2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Докладване на годишното изпълнение на държавната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политика по БДП пред ПС. </w:t>
            </w: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12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Годишна отчетност на държавната </w:t>
            </w: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>политика по БДП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 - състояние на БДП, изпълнение на поставените стратегически цели, и приоритети, свързани с БДП.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>Директор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Доклад от детската градина към ПС за </w:t>
            </w: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изпълнени годишни мерки по БДП по цели. 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Срок: ежегодно до 15 февруари. 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29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Представен доклад от институцията към </w:t>
            </w: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>ПС.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4</w:t>
            </w:r>
          </w:p>
        </w:tc>
        <w:tc>
          <w:tcPr>
            <w:tcW w:w="3261" w:type="dxa"/>
            <w:gridSpan w:val="2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Планиране и финансово осигуряване на мерки по БДП в рамките на одобрените бюджети на институциите в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системата на предучилищното и училищното образование.</w:t>
            </w:r>
          </w:p>
        </w:tc>
        <w:tc>
          <w:tcPr>
            <w:tcW w:w="212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09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Планово и финансово обезпечаване на мерките на ниво детска градина. 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Предвиждане на устойчиво финансиране на мерките по БДП в годишните бюджетни разчети на институциите. 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69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Бюдже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тни разчети на институциите.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169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Годишен доклад за изпълнение на мерките по БДП. </w:t>
            </w:r>
          </w:p>
        </w:tc>
      </w:tr>
      <w:tr w:rsidR="00EC2D27">
        <w:tc>
          <w:tcPr>
            <w:tcW w:w="562" w:type="dxa"/>
          </w:tcPr>
          <w:p w:rsidR="00EC2D27" w:rsidRDefault="00EC2D27">
            <w:pPr>
              <w:tabs>
                <w:tab w:val="left" w:pos="13750"/>
              </w:tabs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  <w:p w:rsidR="00EC2D27" w:rsidRDefault="002C0ED9">
            <w:pPr>
              <w:tabs>
                <w:tab w:val="left" w:pos="13750"/>
              </w:tabs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ІІ</w:t>
            </w:r>
          </w:p>
        </w:tc>
        <w:tc>
          <w:tcPr>
            <w:tcW w:w="13750" w:type="dxa"/>
            <w:gridSpan w:val="6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Цел:Подобряване на координацията и задълбочаване на взаимодействието между институциите при изпълнение на държавната политика по БДП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3261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7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Изпълнение на методически указания на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 ДАБДП в изпълнение на НСБДП и произтичащите от нея документи.</w:t>
            </w:r>
          </w:p>
        </w:tc>
        <w:tc>
          <w:tcPr>
            <w:tcW w:w="212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Комисия по БДП.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Изпълнени методически указания. 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Информация за изпълнени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мерки по БДП за целите на заседания на КБДП.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Кореспонденция между институциите.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ІІІ</w:t>
            </w:r>
          </w:p>
        </w:tc>
        <w:tc>
          <w:tcPr>
            <w:tcW w:w="13750" w:type="dxa"/>
            <w:gridSpan w:val="6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val="bg-BG"/>
              </w:rPr>
              <w:t>Цел:Осъществяване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Прилагане на единна комуникационна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 стратегия по БДП.</w:t>
            </w:r>
            <w:r>
              <w:rPr>
                <w:rFonts w:eastAsia="Calibri"/>
                <w:b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Излъчване на ясни и единни послания на ангажираните по темата за БДП държавни институции в </w:t>
            </w: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общественото пространство. 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Директор 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Активна медийна политика.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Сайта на детската градина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2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Публикуване на годишния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план-програма за 202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4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г. на сайта на детската градина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Публичност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8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31.03.202</w:t>
            </w:r>
            <w:r w:rsidR="00587512">
              <w:rPr>
                <w:rFonts w:eastAsia="Calibri"/>
                <w:sz w:val="22"/>
                <w:szCs w:val="22"/>
                <w:lang w:val="bg-BG"/>
              </w:rPr>
              <w:t>5</w:t>
            </w:r>
            <w:r>
              <w:rPr>
                <w:rFonts w:eastAsia="Calibri"/>
                <w:sz w:val="22"/>
                <w:szCs w:val="22"/>
                <w:lang w:val="bg-BG"/>
              </w:rPr>
              <w:t>г.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Годишен план-програма за БДП, представен от директора на детската градина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Провеждане на минимум 4 редовни заседания на КБДП и изпълнение на взетите решения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Интегриране на политиката по БДП в дейността на детската градина</w:t>
            </w: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Комисия по БДП.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Проведени мин. 2 редовни заседание на КБДП</w:t>
            </w:r>
          </w:p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Изпълнение решения от заседания на КБДП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Докладвани мерки на шестмесечни заседания на КБДП.</w:t>
            </w:r>
          </w:p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Годишен доклад по БДП</w:t>
            </w: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</w:tr>
      <w:tr w:rsidR="00EC2D27">
        <w:tc>
          <w:tcPr>
            <w:tcW w:w="14312" w:type="dxa"/>
            <w:gridSpan w:val="7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sz w:val="22"/>
                <w:szCs w:val="22"/>
                <w:lang w:val="bg-BG"/>
              </w:rPr>
              <w:t xml:space="preserve">ТЕМАТИЧНО </w:t>
            </w:r>
            <w:r>
              <w:rPr>
                <w:rFonts w:eastAsia="Calibri"/>
                <w:b/>
                <w:sz w:val="22"/>
                <w:szCs w:val="22"/>
                <w:lang w:val="bg-BG"/>
              </w:rPr>
              <w:t>НАПРАВЛЕНИЕ 2: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  <w:lang w:val="bg-BG"/>
              </w:rPr>
              <w:t>СОЦИАЛНО ОТГОВОРНО ПОВЕДЕНИЕ: УЧЕНЕ ПРЕЗ ЦЕЛИЯ ЖИВОТ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І</w:t>
            </w:r>
          </w:p>
        </w:tc>
        <w:tc>
          <w:tcPr>
            <w:tcW w:w="13750" w:type="dxa"/>
            <w:gridSpan w:val="6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8"/>
                <w:szCs w:val="22"/>
                <w:lang w:val="bg-BG"/>
              </w:rPr>
            </w:pPr>
            <w:r>
              <w:rPr>
                <w:rFonts w:eastAsia="Calibri"/>
                <w:b/>
                <w:sz w:val="28"/>
                <w:szCs w:val="22"/>
                <w:lang w:val="bg-BG"/>
              </w:rPr>
              <w:t>Цел:Превенция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 xml:space="preserve">1 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Оптимизирано обучение на деца по БДП в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системата на предучилищното образованието в единна концептуална рамка.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Подобрено управление на дейностите за възпитание и обучение на децата по БДП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Подготвени деца в областта на БДП.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Директор 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Изпълнени мерки за подобряване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 обучението на деца БДП. 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Срок: </w:t>
            </w:r>
            <w:r>
              <w:rPr>
                <w:rFonts w:eastAsia="Calibri"/>
                <w:sz w:val="22"/>
                <w:szCs w:val="22"/>
                <w:lang w:val="bg-BG"/>
              </w:rPr>
              <w:t>постоянен.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КБДП и годишно в годишния доклад за изпълнение на политиката по БДП.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Повишаване квалификацията на педагогическите специалисти в системата на предучилищното образование във връзка с обучението по БДП. 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Подготвени педагогически специалисти в областта на БДП.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Заимстване на добри европейски практики.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Изпълнени мерки за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подобряване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 квалификацията на специалистите по БДП в системата на предучилищното образование.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КБДП и годишно в годишния доклад за изпълнение на политиката по БДП.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Организиране и провеждане на  извънкласни инициативи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по БДП за децата в системата на предучилищното образование.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Подкрепа за творческите изяви на децата по темата за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БДП.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Комисия по БДП.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Изпълнени извънкласни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инициативи по БДП за децата в системата на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п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редучилищното образование.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Докладвана от отговорниците информация – регулярно за  заседания на КБДП и годишно в годишния доклад за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изпълнение на политиката по БДП.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4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39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Организиране и провеждане регионални и общински извънкласни инициативи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за деца в системата на образованието, свързани с културата на движение по пътищата.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Подкрепа за творческите изяви на децата по темата за БДП.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40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Комисия по БДП.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Изпълнени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инициативи по БДП за деца в предучилищното образование.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Докладвана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от отговорниците информация – регулярно за  заседания на КБДП и годишно в годишния доклад за изпълнение на политиката по БДП.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5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Ограничаване на рисковете от ПТП при осъществяване на организиран превоз на деца, свързан с учебна и/или извънучебна дейност в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 системата на предучилищното и училищно образование. 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Осигуряване на безопасен транспорт за децата в средищните детски градини.  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Усъвършенстване на контрола за безопасен превоз на децата в пътните превозни средства.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Изпълнени мерки за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ограничава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не на рисковете от ПТП при осъществяване на организиран превоз на деца.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КБДП и годишно в годишния доклад за изпълнение на политиката по БДП.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6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Провеждане на кампании на институциите в областта на БДП, насочени към децата. 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Подготвени деца и ученици в областта на БДП.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Комисия по БДП.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Изпълнени кампанийни инициативи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 в областта на БДП, насочени към деца и ученици.  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отговорниците информация – регулярно за  заседания на КБДП и годишно в годишния доклад за изпълнение на политиката по БДП.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7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Провеждане на ка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мпания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„Моят път до детската градина“. 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Определяне на най-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безопасния маршрут от дома до детската градина и обратно и идентифициране на препятствия и проблемни точки.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Учители по </w:t>
            </w: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>групите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Изпълнени кампанийни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областта на БДП, насочени към децата от 4 до 7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годишна възраст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Срок: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22.01 – 12.02.202</w:t>
            </w:r>
            <w:r w:rsidR="00587512">
              <w:rPr>
                <w:rFonts w:eastAsia="Calibri"/>
                <w:bCs/>
                <w:sz w:val="22"/>
                <w:szCs w:val="22"/>
                <w:lang w:val="bg-BG"/>
              </w:rPr>
              <w:t>5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 г.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 xml:space="preserve">Докладвана от отговорниците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информация – регулярно за  заседания на КБДП и годишно в годишния доклад за изпълнение на политиката по БДП.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8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Активизиране на дейността на комисията в детската градина в развитието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на средата за обучение по БДП и прилежащата пътна инфраструктура и организация на движението в непосредствена близост до детската градина. 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9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Формиране у децата на съзнателно и отговорно отношение към въпросите на личната безопасност и тази на околните, прид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.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Комисия по БДП.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79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Дейност на КБДП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Отчети за дейността на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комисията.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27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Докладвана от отговорните – регулярно за  заседания на КБДП и годишно в годишния доклад за изпълнение на политиката по БДП.</w:t>
            </w: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ІІ</w:t>
            </w:r>
          </w:p>
        </w:tc>
        <w:tc>
          <w:tcPr>
            <w:tcW w:w="13750" w:type="dxa"/>
            <w:gridSpan w:val="6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sz w:val="28"/>
                <w:szCs w:val="22"/>
                <w:lang w:val="bg-BG"/>
              </w:rPr>
              <w:t>Цел:Развитие на социално-отговорна организационна култура за БДП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1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28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Прилагане на комплекс от мерки по БДП спрямо работещите в детската градина. </w:t>
            </w:r>
          </w:p>
          <w:p w:rsidR="00EC2D27" w:rsidRDefault="00EC2D27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Предпазване на  работещите в детската градина от ПТП при служебното им взаимодействие с пътната система. 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Директор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18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Функциониращи системи от мерки по БДП в детската градина - орга</w:t>
            </w:r>
            <w:r>
              <w:rPr>
                <w:rFonts w:eastAsia="Calibri"/>
                <w:sz w:val="22"/>
                <w:szCs w:val="22"/>
                <w:lang w:val="bg-BG"/>
              </w:rPr>
              <w:t>низация.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Срок: постоянен.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Системи от мерки по БДП на образователната институция.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 xml:space="preserve">Мерки на комисията от детската градина в развитието на средата за </w:t>
            </w: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обучение по БДП и прилежащата пътна инфраструктура, и организация на движението в непосредствена близост </w:t>
            </w:r>
            <w:r>
              <w:rPr>
                <w:rFonts w:eastAsia="Calibri"/>
                <w:sz w:val="22"/>
                <w:szCs w:val="22"/>
                <w:lang w:val="bg-BG"/>
              </w:rPr>
              <w:t>до детската градина.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72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Предпазване на  учащите и работещите в детската градина от </w:t>
            </w:r>
            <w:r>
              <w:rPr>
                <w:rFonts w:eastAsia="Calibri"/>
                <w:sz w:val="22"/>
                <w:szCs w:val="22"/>
                <w:lang w:val="bg-BG"/>
              </w:rPr>
              <w:lastRenderedPageBreak/>
              <w:t xml:space="preserve">ПТП при служебното им взаимодействие с пътната система. 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КБДП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Засилена роля на комисия по БДП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Изпълнени мерки на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комисия по БДП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lastRenderedPageBreak/>
              <w:t>Докладвани мерки на шестмесечните заседания на К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БДП</w:t>
            </w:r>
          </w:p>
          <w:p w:rsidR="00EC2D27" w:rsidRDefault="002C0ED9">
            <w:pPr>
              <w:tabs>
                <w:tab w:val="left" w:pos="13750"/>
              </w:tabs>
              <w:spacing w:before="80" w:after="80"/>
              <w:ind w:right="34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Годишен доклад по БДП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lastRenderedPageBreak/>
              <w:t>3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Отбелязване на 29 юни – денят на безопасността на движение по пътищата</w:t>
            </w: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Повишаване на обществената ангажираност и чувствителност по темата за БДП</w:t>
            </w: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Комисия по БДП.</w:t>
            </w:r>
            <w:r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Повишаване на обществената ангажираност и чувствителност по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темата за БДП</w:t>
            </w:r>
          </w:p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>Срок: 29.06.202</w:t>
            </w:r>
            <w:r w:rsidR="00587512">
              <w:rPr>
                <w:rFonts w:eastAsia="Calibri"/>
                <w:bCs/>
                <w:sz w:val="22"/>
                <w:szCs w:val="22"/>
                <w:lang w:val="bg-BG"/>
              </w:rPr>
              <w:t>5</w:t>
            </w:r>
            <w:bookmarkStart w:id="0" w:name="_GoBack"/>
            <w:bookmarkEnd w:id="0"/>
            <w:r>
              <w:rPr>
                <w:rFonts w:eastAsia="Calibri"/>
                <w:bCs/>
                <w:sz w:val="22"/>
                <w:szCs w:val="22"/>
                <w:lang w:val="bg-BG"/>
              </w:rPr>
              <w:t>г.</w:t>
            </w:r>
          </w:p>
          <w:p w:rsidR="00EC2D27" w:rsidRDefault="00EC2D27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Проведени инициативи </w:t>
            </w:r>
          </w:p>
        </w:tc>
      </w:tr>
      <w:tr w:rsidR="00EC2D27">
        <w:tc>
          <w:tcPr>
            <w:tcW w:w="562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2835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 w:eastAsia="en-US"/>
              </w:rPr>
              <w:t xml:space="preserve">Отбелязване на Европейската седмица на мобилността, </w:t>
            </w:r>
            <w:r>
              <w:rPr>
                <w:rFonts w:eastAsia="Calibri"/>
                <w:sz w:val="22"/>
                <w:szCs w:val="22"/>
                <w:lang w:val="bg-BG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val="bg-BG" w:eastAsia="en-US"/>
              </w:rPr>
              <w:t xml:space="preserve">Международния ден за безопасност на движението по пътищата,   Европейския ден без загинали на пътя/EDWARD, Световния ден за възпоменание на </w:t>
            </w:r>
            <w:r>
              <w:rPr>
                <w:rFonts w:eastAsia="Calibri"/>
                <w:bCs/>
                <w:sz w:val="22"/>
                <w:szCs w:val="22"/>
                <w:lang w:val="bg-BG" w:eastAsia="en-US"/>
              </w:rPr>
              <w:t>жертвите от пътнотранспортни произшествия и др.</w:t>
            </w:r>
          </w:p>
        </w:tc>
        <w:tc>
          <w:tcPr>
            <w:tcW w:w="2552" w:type="dxa"/>
            <w:gridSpan w:val="2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 w:eastAsia="en-US"/>
              </w:rPr>
              <w:t>Популяризиране на политиката за БДП.</w:t>
            </w:r>
          </w:p>
        </w:tc>
        <w:tc>
          <w:tcPr>
            <w:tcW w:w="1276" w:type="dxa"/>
          </w:tcPr>
          <w:p w:rsidR="00EC2D27" w:rsidRDefault="002C0ED9">
            <w:pPr>
              <w:tabs>
                <w:tab w:val="left" w:pos="13750"/>
              </w:tabs>
              <w:spacing w:before="80" w:after="80"/>
              <w:ind w:right="-141"/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sz w:val="22"/>
                <w:szCs w:val="22"/>
                <w:lang w:val="bg-BG" w:eastAsia="en-US"/>
              </w:rPr>
              <w:t>Директор, учители по групите</w:t>
            </w:r>
          </w:p>
        </w:tc>
        <w:tc>
          <w:tcPr>
            <w:tcW w:w="2835" w:type="dxa"/>
          </w:tcPr>
          <w:p w:rsidR="00EC2D27" w:rsidRDefault="002C0ED9">
            <w:pPr>
              <w:spacing w:before="80" w:after="80" w:line="259" w:lineRule="auto"/>
              <w:ind w:right="-141"/>
              <w:rPr>
                <w:rFonts w:eastAsia="Calibri"/>
                <w:sz w:val="22"/>
                <w:szCs w:val="22"/>
                <w:lang w:val="bg-BG" w:eastAsia="en-US"/>
              </w:rPr>
            </w:pPr>
            <w:r>
              <w:rPr>
                <w:rFonts w:eastAsia="Calibri"/>
                <w:sz w:val="22"/>
                <w:szCs w:val="22"/>
                <w:lang w:val="bg-BG" w:eastAsia="en-US"/>
              </w:rPr>
              <w:t>Организирани и проведени мероприятия.</w:t>
            </w:r>
          </w:p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/>
                <w:sz w:val="22"/>
                <w:szCs w:val="22"/>
                <w:lang w:val="bg-BG" w:eastAsia="en-US"/>
              </w:rPr>
              <w:t>Срок:</w:t>
            </w:r>
            <w:r>
              <w:rPr>
                <w:rFonts w:eastAsia="Calibri"/>
                <w:sz w:val="22"/>
                <w:szCs w:val="22"/>
                <w:lang w:val="bg-BG" w:eastAsia="en-US"/>
              </w:rPr>
              <w:t xml:space="preserve"> ежегодно.</w:t>
            </w:r>
          </w:p>
        </w:tc>
        <w:tc>
          <w:tcPr>
            <w:tcW w:w="4252" w:type="dxa"/>
          </w:tcPr>
          <w:p w:rsidR="00EC2D27" w:rsidRDefault="002C0ED9">
            <w:pPr>
              <w:tabs>
                <w:tab w:val="left" w:pos="13750"/>
              </w:tabs>
              <w:rPr>
                <w:rFonts w:eastAsia="Calibri"/>
                <w:bCs/>
                <w:sz w:val="22"/>
                <w:szCs w:val="22"/>
                <w:lang w:val="bg-BG"/>
              </w:rPr>
            </w:pPr>
            <w:r>
              <w:rPr>
                <w:rFonts w:eastAsia="Calibri"/>
                <w:bCs/>
                <w:sz w:val="22"/>
                <w:szCs w:val="22"/>
                <w:lang w:val="bg-BG"/>
              </w:rPr>
              <w:t xml:space="preserve">Докладвана от учителите информация – регулярно за  заседания на ПС и годишно в годишния </w:t>
            </w:r>
            <w:r>
              <w:rPr>
                <w:rFonts w:eastAsia="Calibri"/>
                <w:bCs/>
                <w:sz w:val="22"/>
                <w:szCs w:val="22"/>
                <w:lang w:val="bg-BG"/>
              </w:rPr>
              <w:t>доклад за изпълнение на политиката по БДП на директора.</w:t>
            </w:r>
          </w:p>
        </w:tc>
      </w:tr>
    </w:tbl>
    <w:p w:rsidR="00EC2D27" w:rsidRDefault="00EC2D27">
      <w:pPr>
        <w:tabs>
          <w:tab w:val="left" w:pos="13750"/>
        </w:tabs>
        <w:jc w:val="both"/>
        <w:rPr>
          <w:sz w:val="22"/>
          <w:szCs w:val="22"/>
          <w:lang w:val="bg-BG"/>
        </w:rPr>
      </w:pPr>
    </w:p>
    <w:p w:rsidR="00EC2D27" w:rsidRDefault="00EC2D27">
      <w:pPr>
        <w:jc w:val="both"/>
        <w:rPr>
          <w:sz w:val="22"/>
          <w:szCs w:val="22"/>
          <w:lang w:val="bg-BG"/>
        </w:rPr>
      </w:pPr>
    </w:p>
    <w:sectPr w:rsidR="00EC2D27">
      <w:pgSz w:w="16838" w:h="11906" w:orient="landscape"/>
      <w:pgMar w:top="1417" w:right="96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ED9" w:rsidRDefault="002C0ED9">
      <w:r>
        <w:separator/>
      </w:r>
    </w:p>
  </w:endnote>
  <w:endnote w:type="continuationSeparator" w:id="0">
    <w:p w:rsidR="002C0ED9" w:rsidRDefault="002C0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ED9" w:rsidRDefault="002C0ED9">
      <w:r>
        <w:separator/>
      </w:r>
    </w:p>
  </w:footnote>
  <w:footnote w:type="continuationSeparator" w:id="0">
    <w:p w:rsidR="002C0ED9" w:rsidRDefault="002C0E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CAB"/>
    <w:rsid w:val="00004E4F"/>
    <w:rsid w:val="00007389"/>
    <w:rsid w:val="00035C5C"/>
    <w:rsid w:val="00055520"/>
    <w:rsid w:val="000632CE"/>
    <w:rsid w:val="00081C05"/>
    <w:rsid w:val="000A2A2B"/>
    <w:rsid w:val="000C0B06"/>
    <w:rsid w:val="000D7AC4"/>
    <w:rsid w:val="000E4249"/>
    <w:rsid w:val="000E7662"/>
    <w:rsid w:val="00120923"/>
    <w:rsid w:val="00154933"/>
    <w:rsid w:val="0017633E"/>
    <w:rsid w:val="001D0B1E"/>
    <w:rsid w:val="00221558"/>
    <w:rsid w:val="00223055"/>
    <w:rsid w:val="00234D1F"/>
    <w:rsid w:val="002370EA"/>
    <w:rsid w:val="002B30C2"/>
    <w:rsid w:val="002C0ED9"/>
    <w:rsid w:val="002E6182"/>
    <w:rsid w:val="003140E5"/>
    <w:rsid w:val="00331A8C"/>
    <w:rsid w:val="00340661"/>
    <w:rsid w:val="00342371"/>
    <w:rsid w:val="0041206B"/>
    <w:rsid w:val="00435F79"/>
    <w:rsid w:val="00474177"/>
    <w:rsid w:val="0048746B"/>
    <w:rsid w:val="0049675F"/>
    <w:rsid w:val="0052087E"/>
    <w:rsid w:val="00563429"/>
    <w:rsid w:val="00587512"/>
    <w:rsid w:val="005B6728"/>
    <w:rsid w:val="00602F8A"/>
    <w:rsid w:val="00615633"/>
    <w:rsid w:val="00617A25"/>
    <w:rsid w:val="00622BE6"/>
    <w:rsid w:val="0068005C"/>
    <w:rsid w:val="006E0028"/>
    <w:rsid w:val="00706365"/>
    <w:rsid w:val="00771D13"/>
    <w:rsid w:val="007A32F0"/>
    <w:rsid w:val="007E251F"/>
    <w:rsid w:val="008122BE"/>
    <w:rsid w:val="008279FC"/>
    <w:rsid w:val="00827A2A"/>
    <w:rsid w:val="00867119"/>
    <w:rsid w:val="008728F0"/>
    <w:rsid w:val="008F5C8F"/>
    <w:rsid w:val="0092087D"/>
    <w:rsid w:val="00937D3B"/>
    <w:rsid w:val="009479DD"/>
    <w:rsid w:val="00965940"/>
    <w:rsid w:val="009B15AD"/>
    <w:rsid w:val="009C49F4"/>
    <w:rsid w:val="009E2CE9"/>
    <w:rsid w:val="009F0856"/>
    <w:rsid w:val="00A31200"/>
    <w:rsid w:val="00A35392"/>
    <w:rsid w:val="00A66465"/>
    <w:rsid w:val="00AC252C"/>
    <w:rsid w:val="00AF24EE"/>
    <w:rsid w:val="00B325FD"/>
    <w:rsid w:val="00B41B30"/>
    <w:rsid w:val="00B80A78"/>
    <w:rsid w:val="00B82568"/>
    <w:rsid w:val="00B878AA"/>
    <w:rsid w:val="00BA0F13"/>
    <w:rsid w:val="00BE2AE0"/>
    <w:rsid w:val="00BE4A82"/>
    <w:rsid w:val="00C0328D"/>
    <w:rsid w:val="00C16898"/>
    <w:rsid w:val="00C458EA"/>
    <w:rsid w:val="00C527D4"/>
    <w:rsid w:val="00CB2908"/>
    <w:rsid w:val="00CB7EE2"/>
    <w:rsid w:val="00D10111"/>
    <w:rsid w:val="00D210E7"/>
    <w:rsid w:val="00D66F6D"/>
    <w:rsid w:val="00DA4398"/>
    <w:rsid w:val="00DC323F"/>
    <w:rsid w:val="00DE1EBA"/>
    <w:rsid w:val="00E0223C"/>
    <w:rsid w:val="00E04A2C"/>
    <w:rsid w:val="00E06C42"/>
    <w:rsid w:val="00E139C6"/>
    <w:rsid w:val="00E34A10"/>
    <w:rsid w:val="00E35CAB"/>
    <w:rsid w:val="00EA3790"/>
    <w:rsid w:val="00EB5C93"/>
    <w:rsid w:val="00EC2D27"/>
    <w:rsid w:val="00ED0AA1"/>
    <w:rsid w:val="00ED76AA"/>
    <w:rsid w:val="00EF5E76"/>
    <w:rsid w:val="00F01B96"/>
    <w:rsid w:val="00F17219"/>
    <w:rsid w:val="00F2772A"/>
    <w:rsid w:val="00F31FAC"/>
    <w:rsid w:val="00F72B64"/>
    <w:rsid w:val="00FC3022"/>
    <w:rsid w:val="00FE4938"/>
    <w:rsid w:val="00FE5250"/>
    <w:rsid w:val="11AE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0BAA8"/>
  <w15:docId w15:val="{38EF785F-843D-44BD-A3CC-35076FC4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2025-03-20T12:32:00Z</cp:lastPrinted>
  <dcterms:created xsi:type="dcterms:W3CDTF">2021-10-29T12:31:00Z</dcterms:created>
  <dcterms:modified xsi:type="dcterms:W3CDTF">2025-03-20T12:32:00Z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1A06929674D64758A537D500FC93E7AB_12</vt:lpwstr>
  </property>
</Properties>
</file>